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CE42D1" w14:textId="7B6481B1" w:rsidR="005B7DC2" w:rsidRPr="00E02C2B" w:rsidRDefault="005B7DC2" w:rsidP="00470EAE">
      <w:pPr>
        <w:jc w:val="center"/>
        <w:rPr>
          <w:rFonts w:eastAsiaTheme="minorHAnsi"/>
          <w:sz w:val="32"/>
          <w:szCs w:val="32"/>
          <w:lang w:val="en-US" w:eastAsia="en-US"/>
        </w:rPr>
      </w:pPr>
      <w:r w:rsidRPr="00E02C2B">
        <w:rPr>
          <w:rFonts w:eastAsiaTheme="minorHAnsi"/>
          <w:b/>
          <w:bCs/>
          <w:i/>
          <w:iCs/>
          <w:sz w:val="32"/>
          <w:szCs w:val="32"/>
          <w:shd w:val="clear" w:color="auto" w:fill="FFFFFF"/>
          <w:lang w:val="en-US" w:eastAsia="en-US"/>
        </w:rPr>
        <w:t xml:space="preserve">Summer School on </w:t>
      </w:r>
      <w:r w:rsidR="0044093A" w:rsidRPr="00470EAE">
        <w:rPr>
          <w:rFonts w:eastAsiaTheme="minorHAnsi"/>
          <w:b/>
          <w:bCs/>
          <w:iCs/>
          <w:sz w:val="32"/>
          <w:szCs w:val="32"/>
          <w:shd w:val="clear" w:color="auto" w:fill="FFFFFF"/>
          <w:lang w:val="en-US" w:eastAsia="en-US"/>
        </w:rPr>
        <w:t>“</w:t>
      </w:r>
      <w:r w:rsidR="00616AF3" w:rsidRPr="00616AF3">
        <w:rPr>
          <w:rFonts w:eastAsiaTheme="minorHAnsi"/>
          <w:b/>
          <w:bCs/>
          <w:iCs/>
          <w:sz w:val="32"/>
          <w:szCs w:val="32"/>
          <w:shd w:val="clear" w:color="auto" w:fill="FFFFFF"/>
          <w:lang w:val="en-US" w:eastAsia="en-US"/>
        </w:rPr>
        <w:t>High-</w:t>
      </w:r>
      <w:r w:rsidR="00CF0E77">
        <w:rPr>
          <w:rFonts w:eastAsiaTheme="minorHAnsi"/>
          <w:b/>
          <w:bCs/>
          <w:iCs/>
          <w:sz w:val="32"/>
          <w:szCs w:val="32"/>
          <w:shd w:val="clear" w:color="auto" w:fill="FFFFFF"/>
          <w:lang w:val="en-US" w:eastAsia="en-US"/>
        </w:rPr>
        <w:t>T</w:t>
      </w:r>
      <w:r w:rsidR="00616AF3" w:rsidRPr="00616AF3">
        <w:rPr>
          <w:rFonts w:eastAsiaTheme="minorHAnsi"/>
          <w:b/>
          <w:bCs/>
          <w:iCs/>
          <w:sz w:val="32"/>
          <w:szCs w:val="32"/>
          <w:shd w:val="clear" w:color="auto" w:fill="FFFFFF"/>
          <w:lang w:val="en-US" w:eastAsia="en-US"/>
        </w:rPr>
        <w:t xml:space="preserve">hroughput </w:t>
      </w:r>
      <w:proofErr w:type="spellStart"/>
      <w:r w:rsidR="00CF0E77">
        <w:rPr>
          <w:rFonts w:eastAsiaTheme="minorHAnsi"/>
          <w:b/>
          <w:bCs/>
          <w:iCs/>
          <w:sz w:val="32"/>
          <w:szCs w:val="32"/>
          <w:shd w:val="clear" w:color="auto" w:fill="FFFFFF"/>
          <w:lang w:val="en-US" w:eastAsia="en-US"/>
        </w:rPr>
        <w:t>P</w:t>
      </w:r>
      <w:r w:rsidR="00616AF3" w:rsidRPr="00616AF3">
        <w:rPr>
          <w:rFonts w:eastAsiaTheme="minorHAnsi"/>
          <w:b/>
          <w:bCs/>
          <w:iCs/>
          <w:sz w:val="32"/>
          <w:szCs w:val="32"/>
          <w:shd w:val="clear" w:color="auto" w:fill="FFFFFF"/>
          <w:lang w:val="en-US" w:eastAsia="en-US"/>
        </w:rPr>
        <w:t>henomics</w:t>
      </w:r>
      <w:proofErr w:type="spellEnd"/>
      <w:r w:rsidR="00470EAE">
        <w:rPr>
          <w:rFonts w:eastAsiaTheme="minorHAnsi"/>
          <w:b/>
          <w:bCs/>
          <w:i/>
          <w:iCs/>
          <w:sz w:val="32"/>
          <w:szCs w:val="32"/>
          <w:shd w:val="clear" w:color="auto" w:fill="FFFFFF"/>
          <w:lang w:val="en-US" w:eastAsia="en-US"/>
        </w:rPr>
        <w:t>”</w:t>
      </w:r>
      <w:r w:rsidRPr="00E02C2B">
        <w:rPr>
          <w:rFonts w:eastAsiaTheme="minorHAnsi"/>
          <w:b/>
          <w:bCs/>
          <w:i/>
          <w:iCs/>
          <w:sz w:val="32"/>
          <w:szCs w:val="32"/>
          <w:shd w:val="clear" w:color="auto" w:fill="FFFFFF"/>
          <w:lang w:val="en-US" w:eastAsia="en-US"/>
        </w:rPr>
        <w:t>, Septem</w:t>
      </w:r>
      <w:bookmarkStart w:id="0" w:name="_GoBack"/>
      <w:bookmarkEnd w:id="0"/>
      <w:r w:rsidRPr="00E02C2B">
        <w:rPr>
          <w:rFonts w:eastAsiaTheme="minorHAnsi"/>
          <w:b/>
          <w:bCs/>
          <w:i/>
          <w:iCs/>
          <w:sz w:val="32"/>
          <w:szCs w:val="32"/>
          <w:shd w:val="clear" w:color="auto" w:fill="FFFFFF"/>
          <w:lang w:val="en-US" w:eastAsia="en-US"/>
        </w:rPr>
        <w:t xml:space="preserve">ber </w:t>
      </w:r>
      <w:r w:rsidR="00470EAE">
        <w:rPr>
          <w:rFonts w:eastAsiaTheme="minorHAnsi"/>
          <w:b/>
          <w:bCs/>
          <w:i/>
          <w:iCs/>
          <w:sz w:val="32"/>
          <w:szCs w:val="32"/>
          <w:shd w:val="clear" w:color="auto" w:fill="FFFFFF"/>
          <w:lang w:val="en-US" w:eastAsia="en-US"/>
        </w:rPr>
        <w:t>2</w:t>
      </w:r>
      <w:r w:rsidRPr="00E02C2B">
        <w:rPr>
          <w:rFonts w:eastAsiaTheme="minorHAnsi"/>
          <w:b/>
          <w:bCs/>
          <w:i/>
          <w:iCs/>
          <w:sz w:val="32"/>
          <w:szCs w:val="32"/>
          <w:shd w:val="clear" w:color="auto" w:fill="FFFFFF"/>
          <w:lang w:val="en-US" w:eastAsia="en-US"/>
        </w:rPr>
        <w:t>-</w:t>
      </w:r>
      <w:r w:rsidR="00470EAE">
        <w:rPr>
          <w:rFonts w:eastAsiaTheme="minorHAnsi"/>
          <w:b/>
          <w:bCs/>
          <w:i/>
          <w:iCs/>
          <w:sz w:val="32"/>
          <w:szCs w:val="32"/>
          <w:shd w:val="clear" w:color="auto" w:fill="FFFFFF"/>
          <w:lang w:val="en-US" w:eastAsia="en-US"/>
        </w:rPr>
        <w:t>6</w:t>
      </w:r>
      <w:r w:rsidRPr="00E02C2B">
        <w:rPr>
          <w:rFonts w:eastAsiaTheme="minorHAnsi"/>
          <w:b/>
          <w:bCs/>
          <w:i/>
          <w:iCs/>
          <w:sz w:val="32"/>
          <w:szCs w:val="32"/>
          <w:shd w:val="clear" w:color="auto" w:fill="FFFFFF"/>
          <w:lang w:val="en-US" w:eastAsia="en-US"/>
        </w:rPr>
        <w:t xml:space="preserve">, </w:t>
      </w:r>
      <w:r w:rsidR="00E000C5" w:rsidRPr="00E02C2B">
        <w:rPr>
          <w:rFonts w:eastAsiaTheme="minorHAnsi"/>
          <w:b/>
          <w:bCs/>
          <w:i/>
          <w:iCs/>
          <w:sz w:val="32"/>
          <w:szCs w:val="32"/>
          <w:shd w:val="clear" w:color="auto" w:fill="FFFFFF"/>
          <w:lang w:val="en-US" w:eastAsia="en-US"/>
        </w:rPr>
        <w:t>201</w:t>
      </w:r>
      <w:r w:rsidR="00470EAE">
        <w:rPr>
          <w:rFonts w:eastAsiaTheme="minorHAnsi"/>
          <w:b/>
          <w:bCs/>
          <w:i/>
          <w:iCs/>
          <w:sz w:val="32"/>
          <w:szCs w:val="32"/>
          <w:shd w:val="clear" w:color="auto" w:fill="FFFFFF"/>
          <w:lang w:val="en-US" w:eastAsia="en-US"/>
        </w:rPr>
        <w:t>9</w:t>
      </w:r>
      <w:r w:rsidR="0044093A" w:rsidRPr="00E02C2B">
        <w:rPr>
          <w:rFonts w:eastAsiaTheme="minorHAnsi"/>
          <w:b/>
          <w:bCs/>
          <w:i/>
          <w:iCs/>
          <w:sz w:val="32"/>
          <w:szCs w:val="32"/>
          <w:shd w:val="clear" w:color="auto" w:fill="FFFFFF"/>
          <w:lang w:val="en-US" w:eastAsia="en-US"/>
        </w:rPr>
        <w:t>,</w:t>
      </w:r>
      <w:r w:rsidRPr="00E02C2B">
        <w:rPr>
          <w:rFonts w:eastAsiaTheme="minorHAnsi"/>
          <w:b/>
          <w:bCs/>
          <w:i/>
          <w:iCs/>
          <w:sz w:val="32"/>
          <w:szCs w:val="32"/>
          <w:shd w:val="clear" w:color="auto" w:fill="FFFFFF"/>
          <w:lang w:val="en-US" w:eastAsia="en-US"/>
        </w:rPr>
        <w:t xml:space="preserve"> </w:t>
      </w:r>
      <w:r w:rsidR="0044093A" w:rsidRPr="00E02C2B">
        <w:rPr>
          <w:rFonts w:eastAsiaTheme="minorHAnsi"/>
          <w:b/>
          <w:bCs/>
          <w:i/>
          <w:iCs/>
          <w:sz w:val="32"/>
          <w:szCs w:val="32"/>
          <w:shd w:val="clear" w:color="auto" w:fill="FFFFFF"/>
          <w:lang w:val="en-US" w:eastAsia="en-US"/>
        </w:rPr>
        <w:t>Florence</w:t>
      </w:r>
      <w:r w:rsidRPr="00E02C2B">
        <w:rPr>
          <w:rFonts w:eastAsiaTheme="minorHAnsi"/>
          <w:b/>
          <w:bCs/>
          <w:i/>
          <w:iCs/>
          <w:sz w:val="32"/>
          <w:szCs w:val="32"/>
          <w:shd w:val="clear" w:color="auto" w:fill="FFFFFF"/>
          <w:lang w:val="en-US" w:eastAsia="en-US"/>
        </w:rPr>
        <w:t>, Italy</w:t>
      </w:r>
    </w:p>
    <w:p w14:paraId="54E5EF4A" w14:textId="77777777" w:rsidR="005B7DC2" w:rsidRPr="000B74A4" w:rsidRDefault="005B7DC2" w:rsidP="00E02C2B">
      <w:pPr>
        <w:jc w:val="both"/>
        <w:rPr>
          <w:rFonts w:eastAsiaTheme="minorHAnsi"/>
          <w:lang w:val="en-US" w:eastAsia="en-US"/>
        </w:rPr>
      </w:pPr>
    </w:p>
    <w:p w14:paraId="2D93C73A" w14:textId="77777777" w:rsidR="00C43C79" w:rsidRDefault="00C43C79" w:rsidP="001B4A1F">
      <w:pPr>
        <w:jc w:val="both"/>
        <w:rPr>
          <w:rFonts w:eastAsiaTheme="minorHAnsi"/>
          <w:lang w:val="en-US" w:eastAsia="en-US"/>
        </w:rPr>
      </w:pPr>
    </w:p>
    <w:p w14:paraId="11BD6582" w14:textId="5201434A" w:rsidR="001B4A1F" w:rsidRDefault="001B4A1F" w:rsidP="001B4A1F">
      <w:pPr>
        <w:jc w:val="both"/>
        <w:rPr>
          <w:rFonts w:eastAsiaTheme="minorHAnsi"/>
          <w:lang w:val="en-US" w:eastAsia="en-US"/>
        </w:rPr>
      </w:pPr>
      <w:r w:rsidRPr="001B4A1F">
        <w:rPr>
          <w:rFonts w:eastAsiaTheme="minorHAnsi"/>
          <w:lang w:val="en-US" w:eastAsia="en-US"/>
        </w:rPr>
        <w:t xml:space="preserve">We are pleased to announce that the </w:t>
      </w:r>
      <w:proofErr w:type="gramStart"/>
      <w:r w:rsidRPr="001B4A1F">
        <w:rPr>
          <w:rFonts w:eastAsiaTheme="minorHAnsi"/>
          <w:lang w:val="en-US" w:eastAsia="en-US"/>
        </w:rPr>
        <w:t>1</w:t>
      </w:r>
      <w:r w:rsidR="00CF0E77" w:rsidRPr="00CF0E77">
        <w:rPr>
          <w:rFonts w:eastAsiaTheme="minorHAnsi"/>
          <w:vertAlign w:val="superscript"/>
          <w:lang w:val="en-US" w:eastAsia="en-US"/>
        </w:rPr>
        <w:t>s</w:t>
      </w:r>
      <w:r w:rsidRPr="001B4A1F">
        <w:rPr>
          <w:rFonts w:eastAsiaTheme="minorHAnsi"/>
          <w:vertAlign w:val="superscript"/>
          <w:lang w:val="en-US" w:eastAsia="en-US"/>
        </w:rPr>
        <w:t>t</w:t>
      </w:r>
      <w:proofErr w:type="gramEnd"/>
      <w:r w:rsidRPr="001B4A1F">
        <w:rPr>
          <w:rFonts w:eastAsiaTheme="minorHAnsi"/>
          <w:lang w:val="en-US" w:eastAsia="en-US"/>
        </w:rPr>
        <w:t xml:space="preserve"> "Summer School on </w:t>
      </w:r>
      <w:r w:rsidR="00616AF3" w:rsidRPr="00616AF3">
        <w:rPr>
          <w:rFonts w:eastAsiaTheme="minorHAnsi"/>
          <w:lang w:val="en-US" w:eastAsia="en-US"/>
        </w:rPr>
        <w:t>High-</w:t>
      </w:r>
      <w:r w:rsidR="00CF0E77">
        <w:rPr>
          <w:rFonts w:eastAsiaTheme="minorHAnsi"/>
          <w:lang w:val="en-US" w:eastAsia="en-US"/>
        </w:rPr>
        <w:t>T</w:t>
      </w:r>
      <w:r w:rsidR="00616AF3" w:rsidRPr="00616AF3">
        <w:rPr>
          <w:rFonts w:eastAsiaTheme="minorHAnsi"/>
          <w:lang w:val="en-US" w:eastAsia="en-US"/>
        </w:rPr>
        <w:t xml:space="preserve">hroughput </w:t>
      </w:r>
      <w:proofErr w:type="spellStart"/>
      <w:r w:rsidR="00CF0E77">
        <w:rPr>
          <w:rFonts w:eastAsiaTheme="minorHAnsi"/>
          <w:lang w:val="en-US" w:eastAsia="en-US"/>
        </w:rPr>
        <w:t>P</w:t>
      </w:r>
      <w:r w:rsidR="00616AF3" w:rsidRPr="00616AF3">
        <w:rPr>
          <w:rFonts w:eastAsiaTheme="minorHAnsi"/>
          <w:lang w:val="en-US" w:eastAsia="en-US"/>
        </w:rPr>
        <w:t>henomics</w:t>
      </w:r>
      <w:proofErr w:type="spellEnd"/>
      <w:r w:rsidRPr="001B4A1F">
        <w:rPr>
          <w:rFonts w:eastAsiaTheme="minorHAnsi"/>
          <w:lang w:val="en-US" w:eastAsia="en-US"/>
        </w:rPr>
        <w:t>” is scheduled to be held from Monday, September 2</w:t>
      </w:r>
      <w:r w:rsidR="00CF0E77" w:rsidRPr="00CF0E77">
        <w:rPr>
          <w:rFonts w:eastAsiaTheme="minorHAnsi"/>
          <w:vertAlign w:val="superscript"/>
          <w:lang w:val="en-US" w:eastAsia="en-US"/>
        </w:rPr>
        <w:t>nd</w:t>
      </w:r>
      <w:r w:rsidRPr="001B4A1F">
        <w:rPr>
          <w:rFonts w:eastAsiaTheme="minorHAnsi"/>
          <w:lang w:val="en-US" w:eastAsia="en-US"/>
        </w:rPr>
        <w:t xml:space="preserve"> to Friday, September 6</w:t>
      </w:r>
      <w:r w:rsidR="00CF0E77" w:rsidRPr="00CF0E77">
        <w:rPr>
          <w:rFonts w:eastAsiaTheme="minorHAnsi"/>
          <w:vertAlign w:val="superscript"/>
          <w:lang w:val="en-US" w:eastAsia="en-US"/>
        </w:rPr>
        <w:t>th</w:t>
      </w:r>
      <w:r w:rsidRPr="001B4A1F">
        <w:rPr>
          <w:rFonts w:eastAsiaTheme="minorHAnsi"/>
          <w:lang w:val="en-US" w:eastAsia="en-US"/>
        </w:rPr>
        <w:t xml:space="preserve">, 2019. </w:t>
      </w:r>
      <w:r w:rsidR="00CF0E77">
        <w:rPr>
          <w:rFonts w:eastAsiaTheme="minorHAnsi"/>
          <w:lang w:val="en-US" w:eastAsia="en-US"/>
        </w:rPr>
        <w:t>T</w:t>
      </w:r>
      <w:r w:rsidRPr="001B4A1F">
        <w:rPr>
          <w:rFonts w:eastAsiaTheme="minorHAnsi"/>
          <w:lang w:val="en-US" w:eastAsia="en-US"/>
        </w:rPr>
        <w:t xml:space="preserve">he main objective is training young researchers to develop and handle data analysis for </w:t>
      </w:r>
      <w:proofErr w:type="spellStart"/>
      <w:r w:rsidR="00616AF3">
        <w:rPr>
          <w:rFonts w:eastAsiaTheme="minorHAnsi"/>
          <w:lang w:val="en-US" w:eastAsia="en-US"/>
        </w:rPr>
        <w:t>phenomics</w:t>
      </w:r>
      <w:proofErr w:type="spellEnd"/>
      <w:r w:rsidR="00616AF3">
        <w:rPr>
          <w:rFonts w:eastAsiaTheme="minorHAnsi"/>
          <w:lang w:val="en-US" w:eastAsia="en-US"/>
        </w:rPr>
        <w:t xml:space="preserve"> </w:t>
      </w:r>
      <w:r w:rsidRPr="001B4A1F">
        <w:rPr>
          <w:rFonts w:eastAsiaTheme="minorHAnsi"/>
          <w:lang w:val="en-US" w:eastAsia="en-US"/>
        </w:rPr>
        <w:t xml:space="preserve">characterization using Phenotype </w:t>
      </w:r>
      <w:proofErr w:type="spellStart"/>
      <w:r w:rsidRPr="001B4A1F">
        <w:rPr>
          <w:rFonts w:eastAsiaTheme="minorHAnsi"/>
          <w:lang w:val="en-US" w:eastAsia="en-US"/>
        </w:rPr>
        <w:t>MicroArray</w:t>
      </w:r>
      <w:proofErr w:type="spellEnd"/>
      <w:r w:rsidRPr="001B4A1F">
        <w:rPr>
          <w:rFonts w:eastAsiaTheme="minorHAnsi"/>
          <w:lang w:val="en-US" w:eastAsia="en-US"/>
        </w:rPr>
        <w:t xml:space="preserve"> technology (PM)</w:t>
      </w:r>
      <w:r w:rsidR="00616AF3">
        <w:rPr>
          <w:rFonts w:eastAsiaTheme="minorHAnsi"/>
          <w:lang w:val="en-US" w:eastAsia="en-US"/>
        </w:rPr>
        <w:t xml:space="preserve"> of </w:t>
      </w:r>
      <w:r w:rsidR="00616AF3" w:rsidRPr="001B4A1F">
        <w:rPr>
          <w:rFonts w:eastAsiaTheme="minorHAnsi"/>
          <w:lang w:val="en-US" w:eastAsia="en-US"/>
        </w:rPr>
        <w:t>microbial cells</w:t>
      </w:r>
      <w:r w:rsidR="00616AF3">
        <w:rPr>
          <w:rFonts w:eastAsiaTheme="minorHAnsi"/>
          <w:lang w:val="en-US" w:eastAsia="en-US"/>
        </w:rPr>
        <w:t>,</w:t>
      </w:r>
      <w:r w:rsidR="00616AF3" w:rsidRPr="001B4A1F">
        <w:rPr>
          <w:rFonts w:eastAsiaTheme="minorHAnsi"/>
          <w:lang w:val="en-US" w:eastAsia="en-US"/>
        </w:rPr>
        <w:t xml:space="preserve"> </w:t>
      </w:r>
      <w:r w:rsidR="00CF0E77">
        <w:rPr>
          <w:rFonts w:eastAsiaTheme="minorHAnsi"/>
          <w:lang w:val="en-US" w:eastAsia="en-US"/>
        </w:rPr>
        <w:t>and learn how to characterize mitochondrial metabolism.</w:t>
      </w:r>
      <w:r w:rsidRPr="001B4A1F">
        <w:rPr>
          <w:rFonts w:eastAsiaTheme="minorHAnsi"/>
          <w:lang w:val="en-US" w:eastAsia="en-US"/>
        </w:rPr>
        <w:t xml:space="preserve"> </w:t>
      </w:r>
      <w:r w:rsidR="00CF0E77">
        <w:rPr>
          <w:rFonts w:eastAsiaTheme="minorHAnsi"/>
          <w:lang w:val="en-US" w:eastAsia="en-US"/>
        </w:rPr>
        <w:t xml:space="preserve">Since </w:t>
      </w:r>
      <w:r w:rsidRPr="001B4A1F">
        <w:rPr>
          <w:rFonts w:eastAsiaTheme="minorHAnsi"/>
          <w:lang w:val="en-US" w:eastAsia="en-US"/>
        </w:rPr>
        <w:t>PM</w:t>
      </w:r>
      <w:r>
        <w:rPr>
          <w:rFonts w:eastAsiaTheme="minorHAnsi"/>
          <w:lang w:val="en-US" w:eastAsia="en-US"/>
        </w:rPr>
        <w:t xml:space="preserve"> </w:t>
      </w:r>
      <w:r w:rsidR="00CF0E77">
        <w:rPr>
          <w:rFonts w:eastAsiaTheme="minorHAnsi"/>
          <w:lang w:val="en-US" w:eastAsia="en-US"/>
        </w:rPr>
        <w:t>projects requires</w:t>
      </w:r>
      <w:r w:rsidRPr="001B4A1F">
        <w:rPr>
          <w:rFonts w:eastAsiaTheme="minorHAnsi"/>
          <w:lang w:val="en-US" w:eastAsia="en-US"/>
        </w:rPr>
        <w:t xml:space="preserve"> rigorous statistical de</w:t>
      </w:r>
      <w:r w:rsidR="00CF0E77">
        <w:rPr>
          <w:rFonts w:eastAsiaTheme="minorHAnsi"/>
          <w:lang w:val="en-US" w:eastAsia="en-US"/>
        </w:rPr>
        <w:t xml:space="preserve">sign and analysis, related data analysis </w:t>
      </w:r>
      <w:proofErr w:type="gramStart"/>
      <w:r w:rsidR="00CF0E77">
        <w:rPr>
          <w:rFonts w:eastAsiaTheme="minorHAnsi"/>
          <w:lang w:val="en-US" w:eastAsia="en-US"/>
        </w:rPr>
        <w:t>will be evaluated and discussed in depth</w:t>
      </w:r>
      <w:proofErr w:type="gramEnd"/>
      <w:r w:rsidR="00CF0E77">
        <w:rPr>
          <w:rFonts w:eastAsiaTheme="minorHAnsi"/>
          <w:lang w:val="en-US" w:eastAsia="en-US"/>
        </w:rPr>
        <w:t>.</w:t>
      </w:r>
    </w:p>
    <w:p w14:paraId="08516BD3" w14:textId="77777777" w:rsidR="00F5546C" w:rsidRPr="001B4A1F" w:rsidRDefault="00F5546C" w:rsidP="001B4A1F">
      <w:pPr>
        <w:jc w:val="both"/>
        <w:rPr>
          <w:rFonts w:eastAsiaTheme="minorHAnsi"/>
          <w:lang w:val="en-US" w:eastAsia="en-US"/>
        </w:rPr>
      </w:pPr>
    </w:p>
    <w:p w14:paraId="29EBF6B6" w14:textId="7C4C6D09" w:rsidR="001B4A1F" w:rsidRDefault="001B4A1F" w:rsidP="001B4A1F">
      <w:pPr>
        <w:jc w:val="both"/>
        <w:rPr>
          <w:rFonts w:eastAsiaTheme="minorHAnsi"/>
          <w:lang w:val="en-US" w:eastAsia="en-US"/>
        </w:rPr>
      </w:pPr>
      <w:r w:rsidRPr="001B4A1F">
        <w:rPr>
          <w:rFonts w:eastAsiaTheme="minorHAnsi"/>
          <w:lang w:val="en-US" w:eastAsia="en-US"/>
        </w:rPr>
        <w:t>The Summer School will provide an opportuni</w:t>
      </w:r>
      <w:r w:rsidR="00CF0E77">
        <w:rPr>
          <w:rFonts w:eastAsiaTheme="minorHAnsi"/>
          <w:lang w:val="en-US" w:eastAsia="en-US"/>
        </w:rPr>
        <w:t>ty for young scientists to deepen</w:t>
      </w:r>
      <w:r w:rsidRPr="001B4A1F">
        <w:rPr>
          <w:rFonts w:eastAsiaTheme="minorHAnsi"/>
          <w:lang w:val="en-US" w:eastAsia="en-US"/>
        </w:rPr>
        <w:t xml:space="preserve"> Phenotype </w:t>
      </w:r>
      <w:proofErr w:type="spellStart"/>
      <w:r w:rsidRPr="001B4A1F">
        <w:rPr>
          <w:rFonts w:eastAsiaTheme="minorHAnsi"/>
          <w:lang w:val="en-US" w:eastAsia="en-US"/>
        </w:rPr>
        <w:t>MicroArray</w:t>
      </w:r>
      <w:proofErr w:type="spellEnd"/>
      <w:r w:rsidRPr="001B4A1F">
        <w:rPr>
          <w:rFonts w:eastAsiaTheme="minorHAnsi"/>
          <w:lang w:val="en-US" w:eastAsia="en-US"/>
        </w:rPr>
        <w:t xml:space="preserve"> application</w:t>
      </w:r>
      <w:r w:rsidR="00701671">
        <w:rPr>
          <w:rFonts w:eastAsiaTheme="minorHAnsi"/>
          <w:lang w:val="en-US" w:eastAsia="en-US"/>
        </w:rPr>
        <w:t>s</w:t>
      </w:r>
      <w:r w:rsidRPr="001B4A1F">
        <w:rPr>
          <w:rFonts w:eastAsiaTheme="minorHAnsi"/>
          <w:lang w:val="en-US" w:eastAsia="en-US"/>
        </w:rPr>
        <w:t>, discuss the most recent</w:t>
      </w:r>
      <w:r w:rsidR="00CF0E77">
        <w:rPr>
          <w:rFonts w:eastAsiaTheme="minorHAnsi"/>
          <w:lang w:val="en-US" w:eastAsia="en-US"/>
        </w:rPr>
        <w:t xml:space="preserve"> protocols and discover novel</w:t>
      </w:r>
      <w:r w:rsidRPr="001B4A1F">
        <w:rPr>
          <w:rFonts w:eastAsiaTheme="minorHAnsi"/>
          <w:lang w:val="en-US" w:eastAsia="en-US"/>
        </w:rPr>
        <w:t xml:space="preserve"> technological developments in the cell phenotyping field. Moreover, the </w:t>
      </w:r>
      <w:r>
        <w:rPr>
          <w:rFonts w:eastAsiaTheme="minorHAnsi"/>
          <w:lang w:val="en-US" w:eastAsia="en-US"/>
        </w:rPr>
        <w:t>Summer S</w:t>
      </w:r>
      <w:r w:rsidRPr="001B4A1F">
        <w:rPr>
          <w:rFonts w:eastAsiaTheme="minorHAnsi"/>
          <w:lang w:val="en-US" w:eastAsia="en-US"/>
        </w:rPr>
        <w:t>chool facilitate</w:t>
      </w:r>
      <w:r w:rsidR="00CF0E77">
        <w:rPr>
          <w:rFonts w:eastAsiaTheme="minorHAnsi"/>
          <w:lang w:val="en-US" w:eastAsia="en-US"/>
        </w:rPr>
        <w:t>s</w:t>
      </w:r>
      <w:r w:rsidRPr="001B4A1F">
        <w:rPr>
          <w:rFonts w:eastAsiaTheme="minorHAnsi"/>
          <w:lang w:val="en-US" w:eastAsia="en-US"/>
        </w:rPr>
        <w:t xml:space="preserve"> the integration of Phenotype </w:t>
      </w:r>
      <w:proofErr w:type="spellStart"/>
      <w:r w:rsidRPr="001B4A1F">
        <w:rPr>
          <w:rFonts w:eastAsiaTheme="minorHAnsi"/>
          <w:lang w:val="en-US" w:eastAsia="en-US"/>
        </w:rPr>
        <w:t>MicroArray</w:t>
      </w:r>
      <w:proofErr w:type="spellEnd"/>
      <w:r w:rsidRPr="001B4A1F">
        <w:rPr>
          <w:rFonts w:eastAsiaTheme="minorHAnsi"/>
          <w:lang w:val="en-US" w:eastAsia="en-US"/>
        </w:rPr>
        <w:t xml:space="preserve"> data</w:t>
      </w:r>
      <w:r w:rsidR="00CF0E77">
        <w:rPr>
          <w:rFonts w:eastAsiaTheme="minorHAnsi"/>
          <w:lang w:val="en-US" w:eastAsia="en-US"/>
        </w:rPr>
        <w:t xml:space="preserve"> into systems biology f</w:t>
      </w:r>
      <w:r w:rsidRPr="001B4A1F">
        <w:rPr>
          <w:rFonts w:eastAsiaTheme="minorHAnsi"/>
          <w:lang w:val="en-US" w:eastAsia="en-US"/>
        </w:rPr>
        <w:t>or the study of microbial cell biology.</w:t>
      </w:r>
      <w:r>
        <w:rPr>
          <w:rFonts w:eastAsiaTheme="minorHAnsi"/>
          <w:lang w:val="en-US" w:eastAsia="en-US"/>
        </w:rPr>
        <w:t xml:space="preserve"> Specific protocol </w:t>
      </w:r>
      <w:proofErr w:type="gramStart"/>
      <w:r>
        <w:rPr>
          <w:rFonts w:eastAsiaTheme="minorHAnsi"/>
          <w:lang w:val="en-US" w:eastAsia="en-US"/>
        </w:rPr>
        <w:t xml:space="preserve">will </w:t>
      </w:r>
      <w:r w:rsidR="00C43C79">
        <w:rPr>
          <w:rFonts w:eastAsiaTheme="minorHAnsi"/>
          <w:lang w:val="en-US" w:eastAsia="en-US"/>
        </w:rPr>
        <w:t>be applied</w:t>
      </w:r>
      <w:proofErr w:type="gramEnd"/>
      <w:r w:rsidR="00C43C79">
        <w:rPr>
          <w:rFonts w:eastAsiaTheme="minorHAnsi"/>
          <w:lang w:val="en-US" w:eastAsia="en-US"/>
        </w:rPr>
        <w:t xml:space="preserve"> on yeast to monitor</w:t>
      </w:r>
      <w:r>
        <w:rPr>
          <w:rFonts w:eastAsiaTheme="minorHAnsi"/>
          <w:lang w:val="en-US" w:eastAsia="en-US"/>
        </w:rPr>
        <w:t xml:space="preserve"> the mitochondrial activity.</w:t>
      </w:r>
    </w:p>
    <w:p w14:paraId="46DA13B6" w14:textId="77777777" w:rsidR="001B4A1F" w:rsidRDefault="001B4A1F" w:rsidP="001B4A1F">
      <w:pPr>
        <w:jc w:val="both"/>
        <w:rPr>
          <w:rFonts w:eastAsiaTheme="minorHAnsi"/>
          <w:lang w:val="en-US" w:eastAsia="en-US"/>
        </w:rPr>
      </w:pPr>
    </w:p>
    <w:p w14:paraId="115E89F0" w14:textId="0ED4992C" w:rsidR="001B4A1F" w:rsidRPr="001B4A1F" w:rsidRDefault="00CF0E77" w:rsidP="001B4A1F">
      <w:pPr>
        <w:jc w:val="both"/>
        <w:rPr>
          <w:rFonts w:eastAsiaTheme="minorHAnsi"/>
          <w:lang w:val="en-US" w:eastAsia="en-US"/>
        </w:rPr>
      </w:pPr>
      <w:r>
        <w:rPr>
          <w:rFonts w:eastAsiaTheme="minorHAnsi"/>
          <w:lang w:val="en-US" w:eastAsia="en-US"/>
        </w:rPr>
        <w:t>The course is open</w:t>
      </w:r>
      <w:r w:rsidR="001B4A1F" w:rsidRPr="001B4A1F">
        <w:rPr>
          <w:rFonts w:eastAsiaTheme="minorHAnsi"/>
          <w:lang w:val="en-US" w:eastAsia="en-US"/>
        </w:rPr>
        <w:t xml:space="preserve"> to twelve (12) young researchers (i.e. PhD studen</w:t>
      </w:r>
      <w:r>
        <w:rPr>
          <w:rFonts w:eastAsiaTheme="minorHAnsi"/>
          <w:lang w:val="en-US" w:eastAsia="en-US"/>
        </w:rPr>
        <w:t xml:space="preserve">ts or postdocs). Eight spots </w:t>
      </w:r>
      <w:proofErr w:type="gramStart"/>
      <w:r>
        <w:rPr>
          <w:rFonts w:eastAsiaTheme="minorHAnsi"/>
          <w:lang w:val="en-US" w:eastAsia="en-US"/>
        </w:rPr>
        <w:t>will be</w:t>
      </w:r>
      <w:r w:rsidR="001B4A1F" w:rsidRPr="001B4A1F">
        <w:rPr>
          <w:rFonts w:eastAsiaTheme="minorHAnsi"/>
          <w:lang w:val="en-US" w:eastAsia="en-US"/>
        </w:rPr>
        <w:t xml:space="preserve"> reserved</w:t>
      </w:r>
      <w:proofErr w:type="gramEnd"/>
      <w:r w:rsidR="001B4A1F" w:rsidRPr="001B4A1F">
        <w:rPr>
          <w:rFonts w:eastAsiaTheme="minorHAnsi"/>
          <w:lang w:val="en-US" w:eastAsia="en-US"/>
        </w:rPr>
        <w:t xml:space="preserve"> to members of SIMTREA or applicants sponsored by a SIMTREA</w:t>
      </w:r>
      <w:r>
        <w:rPr>
          <w:rFonts w:eastAsiaTheme="minorHAnsi"/>
          <w:lang w:val="en-US" w:eastAsia="en-US"/>
        </w:rPr>
        <w:t xml:space="preserve"> member. Four (4) spots will be</w:t>
      </w:r>
      <w:r w:rsidR="001B4A1F" w:rsidRPr="001B4A1F">
        <w:rPr>
          <w:rFonts w:eastAsiaTheme="minorHAnsi"/>
          <w:lang w:val="en-US" w:eastAsia="en-US"/>
        </w:rPr>
        <w:t xml:space="preserve"> open to international young resear</w:t>
      </w:r>
      <w:r>
        <w:rPr>
          <w:rFonts w:eastAsiaTheme="minorHAnsi"/>
          <w:lang w:val="en-US" w:eastAsia="en-US"/>
        </w:rPr>
        <w:t>chers</w:t>
      </w:r>
      <w:r w:rsidR="001B4A1F" w:rsidRPr="001B4A1F">
        <w:rPr>
          <w:rFonts w:eastAsiaTheme="minorHAnsi"/>
          <w:lang w:val="en-US" w:eastAsia="en-US"/>
        </w:rPr>
        <w:t>.</w:t>
      </w:r>
    </w:p>
    <w:p w14:paraId="72DE64CC" w14:textId="77777777" w:rsidR="001B4A1F" w:rsidRPr="001B4A1F" w:rsidRDefault="001B4A1F" w:rsidP="001B4A1F">
      <w:pPr>
        <w:jc w:val="both"/>
        <w:rPr>
          <w:rFonts w:eastAsiaTheme="minorHAnsi"/>
          <w:lang w:val="en-US" w:eastAsia="en-US"/>
        </w:rPr>
      </w:pPr>
    </w:p>
    <w:p w14:paraId="58CDD12E" w14:textId="36328B2A" w:rsidR="001B4A1F" w:rsidRPr="001B4A1F" w:rsidRDefault="001B4A1F" w:rsidP="001B4A1F">
      <w:pPr>
        <w:jc w:val="both"/>
        <w:rPr>
          <w:rFonts w:eastAsiaTheme="minorHAnsi"/>
          <w:lang w:val="en-US" w:eastAsia="en-US"/>
        </w:rPr>
      </w:pPr>
      <w:r w:rsidRPr="001B4A1F">
        <w:rPr>
          <w:rFonts w:eastAsiaTheme="minorHAnsi"/>
          <w:lang w:val="en-US" w:eastAsia="en-US"/>
        </w:rPr>
        <w:t>Course registration, coffee breaks and accommod</w:t>
      </w:r>
      <w:r w:rsidR="00CF0E77">
        <w:rPr>
          <w:rFonts w:eastAsiaTheme="minorHAnsi"/>
          <w:lang w:val="en-US" w:eastAsia="en-US"/>
        </w:rPr>
        <w:t xml:space="preserve">ation costs for participants </w:t>
      </w:r>
      <w:proofErr w:type="gramStart"/>
      <w:r w:rsidR="00CF0E77">
        <w:rPr>
          <w:rFonts w:eastAsiaTheme="minorHAnsi"/>
          <w:lang w:val="en-US" w:eastAsia="en-US"/>
        </w:rPr>
        <w:t>will be</w:t>
      </w:r>
      <w:r w:rsidRPr="001B4A1F">
        <w:rPr>
          <w:rFonts w:eastAsiaTheme="minorHAnsi"/>
          <w:lang w:val="en-US" w:eastAsia="en-US"/>
        </w:rPr>
        <w:t xml:space="preserve"> covered</w:t>
      </w:r>
      <w:proofErr w:type="gramEnd"/>
      <w:r w:rsidRPr="001B4A1F">
        <w:rPr>
          <w:rFonts w:eastAsiaTheme="minorHAnsi"/>
          <w:lang w:val="en-US" w:eastAsia="en-US"/>
        </w:rPr>
        <w:t xml:space="preserve"> by the subscription to the SIMTREA society or by the</w:t>
      </w:r>
      <w:r w:rsidR="00C43C79">
        <w:rPr>
          <w:rFonts w:eastAsiaTheme="minorHAnsi"/>
          <w:lang w:val="en-US" w:eastAsia="en-US"/>
        </w:rPr>
        <w:t xml:space="preserve"> grants sponsored </w:t>
      </w:r>
      <w:proofErr w:type="spellStart"/>
      <w:r w:rsidR="00C43C79">
        <w:rPr>
          <w:rFonts w:eastAsiaTheme="minorHAnsi"/>
          <w:lang w:val="en-US" w:eastAsia="en-US"/>
        </w:rPr>
        <w:t>Biolog</w:t>
      </w:r>
      <w:proofErr w:type="spellEnd"/>
      <w:r w:rsidR="00C43C79">
        <w:rPr>
          <w:rFonts w:eastAsiaTheme="minorHAnsi"/>
          <w:lang w:val="en-US" w:eastAsia="en-US"/>
        </w:rPr>
        <w:t xml:space="preserve"> Inc</w:t>
      </w:r>
      <w:r w:rsidRPr="001B4A1F">
        <w:rPr>
          <w:rFonts w:eastAsiaTheme="minorHAnsi"/>
          <w:lang w:val="en-US" w:eastAsia="en-US"/>
        </w:rPr>
        <w:t xml:space="preserve">. The 12 participants </w:t>
      </w:r>
      <w:proofErr w:type="gramStart"/>
      <w:r w:rsidRPr="001B4A1F">
        <w:rPr>
          <w:rFonts w:eastAsiaTheme="minorHAnsi"/>
          <w:lang w:val="en-US" w:eastAsia="en-US"/>
        </w:rPr>
        <w:t>will be accommodated</w:t>
      </w:r>
      <w:proofErr w:type="gramEnd"/>
      <w:r w:rsidRPr="001B4A1F">
        <w:rPr>
          <w:rFonts w:eastAsiaTheme="minorHAnsi"/>
          <w:lang w:val="en-US" w:eastAsia="en-US"/>
        </w:rPr>
        <w:t xml:space="preserve"> at a University residence for students or a hotel in Florence (double room).</w:t>
      </w:r>
    </w:p>
    <w:p w14:paraId="6ADEC147" w14:textId="77777777" w:rsidR="001B4A1F" w:rsidRPr="001B4A1F" w:rsidRDefault="001B4A1F" w:rsidP="001B4A1F">
      <w:pPr>
        <w:jc w:val="both"/>
        <w:rPr>
          <w:rFonts w:eastAsiaTheme="minorHAnsi"/>
          <w:lang w:val="en-US" w:eastAsia="en-US"/>
        </w:rPr>
      </w:pPr>
    </w:p>
    <w:p w14:paraId="7EA9AC63" w14:textId="77777777" w:rsidR="001B4A1F" w:rsidRPr="001B4A1F" w:rsidRDefault="001B4A1F" w:rsidP="001B4A1F">
      <w:pPr>
        <w:jc w:val="both"/>
        <w:rPr>
          <w:rFonts w:eastAsiaTheme="minorHAnsi"/>
          <w:lang w:val="en-US" w:eastAsia="en-US"/>
        </w:rPr>
      </w:pPr>
      <w:r w:rsidRPr="001B4A1F">
        <w:rPr>
          <w:rFonts w:eastAsiaTheme="minorHAnsi"/>
          <w:lang w:val="en-US" w:eastAsia="en-US"/>
        </w:rPr>
        <w:t xml:space="preserve">For all </w:t>
      </w:r>
      <w:proofErr w:type="gramStart"/>
      <w:r w:rsidRPr="001B4A1F">
        <w:rPr>
          <w:rFonts w:eastAsiaTheme="minorHAnsi"/>
          <w:lang w:val="en-US" w:eastAsia="en-US"/>
        </w:rPr>
        <w:t>participants</w:t>
      </w:r>
      <w:proofErr w:type="gramEnd"/>
      <w:r w:rsidRPr="001B4A1F">
        <w:rPr>
          <w:rFonts w:eastAsiaTheme="minorHAnsi"/>
          <w:lang w:val="en-US" w:eastAsia="en-US"/>
        </w:rPr>
        <w:t xml:space="preserve"> touristic tax, travel costs and meals are not included.</w:t>
      </w:r>
    </w:p>
    <w:p w14:paraId="4E474BDF" w14:textId="77777777" w:rsidR="001B4A1F" w:rsidRPr="001B4A1F" w:rsidRDefault="001B4A1F" w:rsidP="001B4A1F">
      <w:pPr>
        <w:jc w:val="both"/>
        <w:rPr>
          <w:rFonts w:eastAsiaTheme="minorHAnsi"/>
          <w:lang w:val="en-US" w:eastAsia="en-US"/>
        </w:rPr>
      </w:pPr>
    </w:p>
    <w:p w14:paraId="2036983C" w14:textId="55553FC4" w:rsidR="001B4A1F" w:rsidRPr="001B4A1F" w:rsidRDefault="001B4A1F" w:rsidP="001B4A1F">
      <w:pPr>
        <w:jc w:val="both"/>
        <w:rPr>
          <w:rFonts w:eastAsiaTheme="minorHAnsi"/>
          <w:b/>
          <w:lang w:val="en-US" w:eastAsia="en-US"/>
        </w:rPr>
      </w:pPr>
      <w:r w:rsidRPr="001B4A1F">
        <w:rPr>
          <w:rFonts w:eastAsiaTheme="minorHAnsi"/>
          <w:b/>
          <w:lang w:val="en-US" w:eastAsia="en-US"/>
        </w:rPr>
        <w:t>Successful applicants will be selecte</w:t>
      </w:r>
      <w:r w:rsidR="00CF0E77">
        <w:rPr>
          <w:rFonts w:eastAsiaTheme="minorHAnsi"/>
          <w:b/>
          <w:lang w:val="en-US" w:eastAsia="en-US"/>
        </w:rPr>
        <w:t xml:space="preserve">d </w:t>
      </w:r>
      <w:proofErr w:type="gramStart"/>
      <w:r w:rsidR="00CF0E77">
        <w:rPr>
          <w:rFonts w:eastAsiaTheme="minorHAnsi"/>
          <w:b/>
          <w:lang w:val="en-US" w:eastAsia="en-US"/>
        </w:rPr>
        <w:t>o</w:t>
      </w:r>
      <w:r w:rsidR="00C43C79">
        <w:rPr>
          <w:rFonts w:eastAsiaTheme="minorHAnsi"/>
          <w:b/>
          <w:lang w:val="en-US" w:eastAsia="en-US"/>
        </w:rPr>
        <w:t>n the basis of</w:t>
      </w:r>
      <w:proofErr w:type="gramEnd"/>
      <w:r w:rsidR="00C43C79">
        <w:rPr>
          <w:rFonts w:eastAsiaTheme="minorHAnsi"/>
          <w:b/>
          <w:lang w:val="en-US" w:eastAsia="en-US"/>
        </w:rPr>
        <w:t xml:space="preserve"> their CV and research motivation statement by a dedicated SIMTREA committee.</w:t>
      </w:r>
    </w:p>
    <w:p w14:paraId="697AF0B0" w14:textId="77777777" w:rsidR="001B4A1F" w:rsidRPr="001B4A1F" w:rsidRDefault="001B4A1F" w:rsidP="001B4A1F">
      <w:pPr>
        <w:jc w:val="both"/>
        <w:rPr>
          <w:rFonts w:eastAsiaTheme="minorHAnsi"/>
          <w:lang w:val="en-US" w:eastAsia="en-US"/>
        </w:rPr>
      </w:pPr>
    </w:p>
    <w:sectPr w:rsidR="001B4A1F" w:rsidRPr="001B4A1F" w:rsidSect="00042A59">
      <w:headerReference w:type="default" r:id="rId6"/>
      <w:footerReference w:type="default" r:id="rId7"/>
      <w:pgSz w:w="11906" w:h="16838"/>
      <w:pgMar w:top="1417" w:right="1134" w:bottom="1134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F515FC" w14:textId="77777777" w:rsidR="00A245B7" w:rsidRDefault="00A245B7">
      <w:r>
        <w:separator/>
      </w:r>
    </w:p>
  </w:endnote>
  <w:endnote w:type="continuationSeparator" w:id="0">
    <w:p w14:paraId="289B3831" w14:textId="77777777" w:rsidR="00A245B7" w:rsidRDefault="00A24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126A11" w14:textId="77777777" w:rsidR="00470EAE" w:rsidRPr="00042A59" w:rsidRDefault="00470EAE" w:rsidP="001803AE">
    <w:pPr>
      <w:pBdr>
        <w:top w:val="single" w:sz="4" w:space="1" w:color="auto"/>
      </w:pBdr>
      <w:jc w:val="center"/>
      <w:rPr>
        <w:rFonts w:ascii="Monotype Corsiva" w:hAnsi="Monotype Corsiva"/>
        <w:bCs/>
        <w:color w:val="003366"/>
      </w:rPr>
    </w:pPr>
    <w:r w:rsidRPr="00042A59">
      <w:rPr>
        <w:rFonts w:ascii="Monotype Corsiva" w:hAnsi="Monotype Corsiva"/>
        <w:bCs/>
        <w:color w:val="003366"/>
      </w:rPr>
      <w:t>Website: http://www.simtrea.org/; E-mail: carl</w:t>
    </w:r>
    <w:r>
      <w:rPr>
        <w:rFonts w:ascii="Monotype Corsiva" w:hAnsi="Monotype Corsiva"/>
        <w:bCs/>
        <w:color w:val="003366"/>
      </w:rPr>
      <w:t>o.viti@unifi.it</w:t>
    </w:r>
  </w:p>
  <w:p w14:paraId="597BDF3F" w14:textId="77777777" w:rsidR="00470EAE" w:rsidRPr="00042A59" w:rsidRDefault="00470EA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6185CB" w14:textId="77777777" w:rsidR="00A245B7" w:rsidRDefault="00A245B7">
      <w:r>
        <w:separator/>
      </w:r>
    </w:p>
  </w:footnote>
  <w:footnote w:type="continuationSeparator" w:id="0">
    <w:p w14:paraId="19D68CF5" w14:textId="77777777" w:rsidR="00A245B7" w:rsidRDefault="00A245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9566"/>
      <w:gridCol w:w="9894"/>
      <w:gridCol w:w="9894"/>
    </w:tblGrid>
    <w:tr w:rsidR="00470EAE" w:rsidRPr="00A77B51" w14:paraId="3D5B7015" w14:textId="77777777" w:rsidTr="00A77B51">
      <w:tc>
        <w:tcPr>
          <w:tcW w:w="1696" w:type="dxa"/>
          <w:tcBorders>
            <w:top w:val="nil"/>
            <w:left w:val="nil"/>
            <w:bottom w:val="nil"/>
            <w:right w:val="nil"/>
          </w:tcBorders>
        </w:tcPr>
        <w:tbl>
          <w:tblPr>
            <w:tblW w:w="9350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1E0" w:firstRow="1" w:lastRow="1" w:firstColumn="1" w:lastColumn="1" w:noHBand="0" w:noVBand="0"/>
          </w:tblPr>
          <w:tblGrid>
            <w:gridCol w:w="2316"/>
            <w:gridCol w:w="4806"/>
            <w:gridCol w:w="2228"/>
          </w:tblGrid>
          <w:tr w:rsidR="00470EAE" w:rsidRPr="00B7418B" w14:paraId="188521FC" w14:textId="77777777" w:rsidTr="003A51AA">
            <w:tc>
              <w:tcPr>
                <w:tcW w:w="231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552244C" w14:textId="77777777" w:rsidR="00470EAE" w:rsidRPr="00B7418B" w:rsidRDefault="00470EAE" w:rsidP="007D1DF5">
                <w:pPr>
                  <w:ind w:left="-216" w:firstLine="216"/>
                  <w:rPr>
                    <w:i/>
                    <w:lang w:val="en-GB"/>
                  </w:rPr>
                </w:pPr>
                <w:r w:rsidRPr="00DF446A">
                  <w:rPr>
                    <w:noProof/>
                  </w:rPr>
                  <w:drawing>
                    <wp:inline distT="0" distB="0" distL="0" distR="0" wp14:anchorId="4C473BF5" wp14:editId="63D3F62D">
                      <wp:extent cx="1323975" cy="561975"/>
                      <wp:effectExtent l="0" t="0" r="9525" b="9525"/>
                      <wp:docPr id="1" name="Immagine 1" descr="SIM3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magine 1" descr="SIM3A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23975" cy="561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480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27C600D" w14:textId="77777777" w:rsidR="00616AF3" w:rsidRPr="00616AF3" w:rsidRDefault="00616AF3" w:rsidP="009641B0">
                <w:pPr>
                  <w:jc w:val="center"/>
                  <w:rPr>
                    <w:rFonts w:ascii="Monotype Corsiva" w:hAnsi="Monotype Corsiva"/>
                    <w:bCs/>
                    <w:i/>
                    <w:color w:val="003366"/>
                    <w:sz w:val="22"/>
                    <w:szCs w:val="22"/>
                    <w:lang w:val="en-GB"/>
                  </w:rPr>
                </w:pPr>
              </w:p>
              <w:p w14:paraId="1B475FEA" w14:textId="7A2898D7" w:rsidR="00470EAE" w:rsidRPr="007D1DF5" w:rsidRDefault="00470EAE" w:rsidP="009641B0">
                <w:pPr>
                  <w:jc w:val="center"/>
                  <w:rPr>
                    <w:rFonts w:ascii="Monotype Corsiva" w:hAnsi="Monotype Corsiva"/>
                    <w:bCs/>
                    <w:i/>
                    <w:color w:val="003366"/>
                    <w:sz w:val="34"/>
                    <w:szCs w:val="34"/>
                    <w:lang w:val="en-GB"/>
                  </w:rPr>
                </w:pPr>
                <w:r w:rsidRPr="007D1DF5">
                  <w:rPr>
                    <w:rFonts w:ascii="Monotype Corsiva" w:hAnsi="Monotype Corsiva"/>
                    <w:bCs/>
                    <w:i/>
                    <w:color w:val="003366"/>
                    <w:sz w:val="34"/>
                    <w:szCs w:val="34"/>
                    <w:lang w:val="en-GB"/>
                  </w:rPr>
                  <w:t xml:space="preserve">Summer School on </w:t>
                </w:r>
                <w:r w:rsidR="00616AF3" w:rsidRPr="00616AF3">
                  <w:rPr>
                    <w:rFonts w:ascii="Monotype Corsiva" w:hAnsi="Monotype Corsiva"/>
                    <w:bCs/>
                    <w:i/>
                    <w:color w:val="003366"/>
                    <w:sz w:val="34"/>
                    <w:szCs w:val="34"/>
                    <w:lang w:val="en-GB"/>
                  </w:rPr>
                  <w:t xml:space="preserve">High-throughput </w:t>
                </w:r>
                <w:proofErr w:type="spellStart"/>
                <w:r w:rsidR="00616AF3" w:rsidRPr="00616AF3">
                  <w:rPr>
                    <w:rFonts w:ascii="Monotype Corsiva" w:hAnsi="Monotype Corsiva"/>
                    <w:bCs/>
                    <w:i/>
                    <w:color w:val="003366"/>
                    <w:sz w:val="34"/>
                    <w:szCs w:val="34"/>
                    <w:lang w:val="en-GB"/>
                  </w:rPr>
                  <w:t>phenomics</w:t>
                </w:r>
                <w:proofErr w:type="spellEnd"/>
              </w:p>
              <w:p w14:paraId="1C37417E" w14:textId="56DED225" w:rsidR="00470EAE" w:rsidRPr="00B7418B" w:rsidRDefault="00470EAE" w:rsidP="00470EAE">
                <w:pPr>
                  <w:jc w:val="center"/>
                  <w:rPr>
                    <w:i/>
                    <w:sz w:val="22"/>
                    <w:szCs w:val="22"/>
                    <w:lang w:val="en-GB"/>
                  </w:rPr>
                </w:pPr>
                <w:r>
                  <w:rPr>
                    <w:rFonts w:ascii="Monotype Corsiva" w:hAnsi="Monotype Corsiva"/>
                    <w:i/>
                    <w:color w:val="003366"/>
                    <w:sz w:val="22"/>
                    <w:szCs w:val="22"/>
                    <w:lang w:val="en-US"/>
                  </w:rPr>
                  <w:t>Florence</w:t>
                </w:r>
                <w:r w:rsidRPr="000437D2">
                  <w:rPr>
                    <w:rFonts w:ascii="Monotype Corsiva" w:hAnsi="Monotype Corsiva"/>
                    <w:i/>
                    <w:color w:val="003366"/>
                    <w:sz w:val="22"/>
                    <w:szCs w:val="22"/>
                    <w:lang w:val="en-US"/>
                  </w:rPr>
                  <w:t xml:space="preserve">, </w:t>
                </w:r>
                <w:r>
                  <w:rPr>
                    <w:rFonts w:ascii="Monotype Corsiva" w:hAnsi="Monotype Corsiva"/>
                    <w:i/>
                    <w:color w:val="003366"/>
                    <w:sz w:val="22"/>
                    <w:szCs w:val="22"/>
                    <w:lang w:val="en-US"/>
                  </w:rPr>
                  <w:t>September 2</w:t>
                </w:r>
                <w:r w:rsidRPr="000437D2">
                  <w:rPr>
                    <w:rFonts w:ascii="Monotype Corsiva" w:hAnsi="Monotype Corsiva"/>
                    <w:i/>
                    <w:color w:val="003366"/>
                    <w:sz w:val="22"/>
                    <w:szCs w:val="22"/>
                    <w:lang w:val="en-US"/>
                  </w:rPr>
                  <w:t>-</w:t>
                </w:r>
                <w:r>
                  <w:rPr>
                    <w:rFonts w:ascii="Monotype Corsiva" w:hAnsi="Monotype Corsiva"/>
                    <w:i/>
                    <w:color w:val="003366"/>
                    <w:sz w:val="22"/>
                    <w:szCs w:val="22"/>
                    <w:lang w:val="en-US"/>
                  </w:rPr>
                  <w:t>6</w:t>
                </w:r>
                <w:r w:rsidRPr="000437D2">
                  <w:rPr>
                    <w:rFonts w:ascii="Monotype Corsiva" w:hAnsi="Monotype Corsiva"/>
                    <w:i/>
                    <w:color w:val="003366"/>
                    <w:sz w:val="22"/>
                    <w:szCs w:val="22"/>
                    <w:lang w:val="en-US"/>
                  </w:rPr>
                  <w:t>, 201</w:t>
                </w:r>
                <w:r>
                  <w:rPr>
                    <w:rFonts w:ascii="Monotype Corsiva" w:hAnsi="Monotype Corsiva"/>
                    <w:i/>
                    <w:color w:val="003366"/>
                    <w:sz w:val="22"/>
                    <w:szCs w:val="22"/>
                    <w:lang w:val="en-US"/>
                  </w:rPr>
                  <w:t>9</w:t>
                </w:r>
              </w:p>
            </w:tc>
            <w:tc>
              <w:tcPr>
                <w:tcW w:w="222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ED83C11" w14:textId="294B1941" w:rsidR="00470EAE" w:rsidRPr="00B7418B" w:rsidRDefault="003A51AA" w:rsidP="000437D2">
                <w:pPr>
                  <w:rPr>
                    <w:i/>
                    <w:lang w:val="en-GB"/>
                  </w:rPr>
                </w:pPr>
                <w:r>
                  <w:rPr>
                    <w:noProof/>
                  </w:rPr>
                  <w:drawing>
                    <wp:inline distT="0" distB="0" distL="0" distR="0" wp14:anchorId="4114A75C" wp14:editId="5065389B">
                      <wp:extent cx="1277620" cy="620395"/>
                      <wp:effectExtent l="0" t="0" r="0" b="8255"/>
                      <wp:docPr id="6" name="Immagine 6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" name="Immagine 6"/>
                              <pic:cNvPicPr/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77620" cy="62039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14:paraId="467570CD" w14:textId="77777777" w:rsidR="00470EAE" w:rsidRDefault="00470EAE"/>
      </w:tc>
      <w:tc>
        <w:tcPr>
          <w:tcW w:w="6242" w:type="dxa"/>
          <w:tcBorders>
            <w:top w:val="nil"/>
            <w:left w:val="nil"/>
            <w:bottom w:val="nil"/>
            <w:right w:val="nil"/>
          </w:tcBorders>
        </w:tcPr>
        <w:tbl>
          <w:tblPr>
            <w:tblW w:w="9678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1E0" w:firstRow="1" w:lastRow="1" w:firstColumn="1" w:lastColumn="1" w:noHBand="0" w:noVBand="0"/>
          </w:tblPr>
          <w:tblGrid>
            <w:gridCol w:w="1384"/>
            <w:gridCol w:w="6237"/>
            <w:gridCol w:w="2057"/>
          </w:tblGrid>
          <w:tr w:rsidR="00470EAE" w:rsidRPr="00B7418B" w14:paraId="5E31F630" w14:textId="77777777" w:rsidTr="009641B0">
            <w:tc>
              <w:tcPr>
                <w:tcW w:w="138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275416A" w14:textId="77777777" w:rsidR="00470EAE" w:rsidRPr="00B7418B" w:rsidRDefault="00470EAE" w:rsidP="009641B0">
                <w:pPr>
                  <w:rPr>
                    <w:i/>
                    <w:lang w:val="en-GB"/>
                  </w:rPr>
                </w:pPr>
              </w:p>
            </w:tc>
            <w:tc>
              <w:tcPr>
                <w:tcW w:w="623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75B4A4A" w14:textId="77777777" w:rsidR="00470EAE" w:rsidRPr="00B7418B" w:rsidRDefault="00470EAE" w:rsidP="009641B0">
                <w:pPr>
                  <w:jc w:val="center"/>
                  <w:rPr>
                    <w:rFonts w:ascii="Monotype Corsiva" w:hAnsi="Monotype Corsiva"/>
                    <w:bCs/>
                    <w:i/>
                    <w:color w:val="003366"/>
                    <w:sz w:val="36"/>
                    <w:szCs w:val="36"/>
                    <w:lang w:val="en-GB"/>
                  </w:rPr>
                </w:pPr>
                <w:r w:rsidRPr="00B7418B">
                  <w:rPr>
                    <w:rFonts w:ascii="Monotype Corsiva" w:hAnsi="Monotype Corsiva"/>
                    <w:bCs/>
                    <w:i/>
                    <w:color w:val="003366"/>
                    <w:sz w:val="36"/>
                    <w:szCs w:val="36"/>
                    <w:lang w:val="en-GB"/>
                  </w:rPr>
                  <w:t xml:space="preserve">Florence Conference on Phenotype </w:t>
                </w:r>
                <w:proofErr w:type="spellStart"/>
                <w:r w:rsidRPr="00B7418B">
                  <w:rPr>
                    <w:rFonts w:ascii="Monotype Corsiva" w:hAnsi="Monotype Corsiva"/>
                    <w:bCs/>
                    <w:i/>
                    <w:color w:val="003366"/>
                    <w:sz w:val="36"/>
                    <w:szCs w:val="36"/>
                    <w:lang w:val="en-GB"/>
                  </w:rPr>
                  <w:t>MicroArray</w:t>
                </w:r>
                <w:proofErr w:type="spellEnd"/>
                <w:r w:rsidRPr="00B7418B">
                  <w:rPr>
                    <w:rFonts w:ascii="Monotype Corsiva" w:hAnsi="Monotype Corsiva"/>
                    <w:bCs/>
                    <w:i/>
                    <w:color w:val="003366"/>
                    <w:sz w:val="36"/>
                    <w:szCs w:val="36"/>
                    <w:lang w:val="en-GB"/>
                  </w:rPr>
                  <w:t xml:space="preserve"> Analysis of cells</w:t>
                </w:r>
              </w:p>
              <w:p w14:paraId="543DB6FF" w14:textId="77777777" w:rsidR="00470EAE" w:rsidRPr="00B7418B" w:rsidRDefault="00470EAE" w:rsidP="009641B0">
                <w:pPr>
                  <w:jc w:val="center"/>
                  <w:rPr>
                    <w:rFonts w:ascii="Monotype Corsiva" w:hAnsi="Monotype Corsiva"/>
                    <w:bCs/>
                    <w:i/>
                    <w:color w:val="003366"/>
                    <w:lang w:val="en-GB"/>
                  </w:rPr>
                </w:pPr>
                <w:r w:rsidRPr="00B7418B">
                  <w:rPr>
                    <w:rFonts w:ascii="Monotype Corsiva" w:hAnsi="Monotype Corsiva"/>
                    <w:bCs/>
                    <w:i/>
                    <w:color w:val="003366"/>
                    <w:lang w:val="en-GB"/>
                  </w:rPr>
                  <w:t>The Environment, Agriculture, and Human Health</w:t>
                </w:r>
              </w:p>
              <w:p w14:paraId="5EA244BA" w14:textId="77777777" w:rsidR="00470EAE" w:rsidRPr="00B7418B" w:rsidRDefault="00470EAE" w:rsidP="009641B0">
                <w:pPr>
                  <w:jc w:val="center"/>
                  <w:rPr>
                    <w:i/>
                    <w:sz w:val="22"/>
                    <w:szCs w:val="22"/>
                    <w:lang w:val="en-GB"/>
                  </w:rPr>
                </w:pPr>
                <w:r w:rsidRPr="00B7418B">
                  <w:rPr>
                    <w:rFonts w:ascii="Monotype Corsiva" w:hAnsi="Monotype Corsiva"/>
                    <w:i/>
                    <w:color w:val="003366"/>
                    <w:sz w:val="22"/>
                    <w:szCs w:val="22"/>
                  </w:rPr>
                  <w:t>Firenze-</w:t>
                </w:r>
                <w:proofErr w:type="spellStart"/>
                <w:r w:rsidRPr="00B7418B">
                  <w:rPr>
                    <w:rFonts w:ascii="Monotype Corsiva" w:hAnsi="Monotype Corsiva"/>
                    <w:i/>
                    <w:color w:val="003366"/>
                    <w:sz w:val="22"/>
                    <w:szCs w:val="22"/>
                  </w:rPr>
                  <w:t>Italy</w:t>
                </w:r>
                <w:proofErr w:type="spellEnd"/>
                <w:r w:rsidRPr="00B7418B">
                  <w:rPr>
                    <w:rFonts w:ascii="Monotype Corsiva" w:hAnsi="Monotype Corsiva"/>
                    <w:i/>
                    <w:color w:val="003366"/>
                    <w:sz w:val="22"/>
                    <w:szCs w:val="22"/>
                  </w:rPr>
                  <w:t xml:space="preserve">, </w:t>
                </w:r>
                <w:proofErr w:type="spellStart"/>
                <w:r w:rsidRPr="00B7418B">
                  <w:rPr>
                    <w:rFonts w:ascii="Monotype Corsiva" w:hAnsi="Monotype Corsiva"/>
                    <w:i/>
                    <w:color w:val="003366"/>
                    <w:sz w:val="22"/>
                    <w:szCs w:val="22"/>
                  </w:rPr>
                  <w:t>September</w:t>
                </w:r>
                <w:proofErr w:type="spellEnd"/>
                <w:r w:rsidRPr="00B7418B">
                  <w:rPr>
                    <w:rFonts w:ascii="Monotype Corsiva" w:hAnsi="Monotype Corsiva"/>
                    <w:i/>
                    <w:color w:val="003366"/>
                    <w:sz w:val="22"/>
                    <w:szCs w:val="22"/>
                  </w:rPr>
                  <w:t xml:space="preserve"> 10-12, 2015</w:t>
                </w:r>
              </w:p>
            </w:tc>
            <w:tc>
              <w:tcPr>
                <w:tcW w:w="205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2338996" w14:textId="77777777" w:rsidR="00470EAE" w:rsidRPr="00B7418B" w:rsidRDefault="00470EAE" w:rsidP="009641B0">
                <w:pPr>
                  <w:rPr>
                    <w:i/>
                    <w:lang w:val="en-GB"/>
                  </w:rPr>
                </w:pPr>
                <w:r w:rsidRPr="00B7418B">
                  <w:rPr>
                    <w:i/>
                    <w:noProof/>
                  </w:rPr>
                  <w:drawing>
                    <wp:inline distT="0" distB="0" distL="0" distR="0" wp14:anchorId="3EC590AA" wp14:editId="3C4B8F71">
                      <wp:extent cx="1009650" cy="666750"/>
                      <wp:effectExtent l="0" t="0" r="0" b="0"/>
                      <wp:docPr id="3" name="Immagine 3" descr="logo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 descr="logo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09650" cy="666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14:paraId="3DBE8034" w14:textId="77777777" w:rsidR="00470EAE" w:rsidRDefault="00470EAE"/>
      </w:tc>
      <w:tc>
        <w:tcPr>
          <w:tcW w:w="2093" w:type="dxa"/>
          <w:tcBorders>
            <w:top w:val="nil"/>
            <w:left w:val="nil"/>
            <w:bottom w:val="nil"/>
            <w:right w:val="nil"/>
          </w:tcBorders>
        </w:tcPr>
        <w:tbl>
          <w:tblPr>
            <w:tblW w:w="9678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1E0" w:firstRow="1" w:lastRow="1" w:firstColumn="1" w:lastColumn="1" w:noHBand="0" w:noVBand="0"/>
          </w:tblPr>
          <w:tblGrid>
            <w:gridCol w:w="1384"/>
            <w:gridCol w:w="6237"/>
            <w:gridCol w:w="2057"/>
          </w:tblGrid>
          <w:tr w:rsidR="00470EAE" w:rsidRPr="00B7418B" w14:paraId="4DA5AF71" w14:textId="77777777" w:rsidTr="009641B0">
            <w:tc>
              <w:tcPr>
                <w:tcW w:w="138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04932E4" w14:textId="77777777" w:rsidR="00470EAE" w:rsidRPr="00B7418B" w:rsidRDefault="00470EAE" w:rsidP="009641B0">
                <w:pPr>
                  <w:rPr>
                    <w:i/>
                    <w:lang w:val="en-GB"/>
                  </w:rPr>
                </w:pPr>
                <w:r w:rsidRPr="00B7418B">
                  <w:rPr>
                    <w:i/>
                    <w:noProof/>
                  </w:rPr>
                  <w:drawing>
                    <wp:inline distT="0" distB="0" distL="0" distR="0" wp14:anchorId="39CAB90B" wp14:editId="3129B06A">
                      <wp:extent cx="704850" cy="676275"/>
                      <wp:effectExtent l="0" t="0" r="0" b="9525"/>
                      <wp:docPr id="4" name="Immagine 4" descr="salomon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 descr="salomon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04850" cy="676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23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332332A" w14:textId="77777777" w:rsidR="00470EAE" w:rsidRPr="00B7418B" w:rsidRDefault="00470EAE" w:rsidP="009641B0">
                <w:pPr>
                  <w:jc w:val="center"/>
                  <w:rPr>
                    <w:rFonts w:ascii="Monotype Corsiva" w:hAnsi="Monotype Corsiva"/>
                    <w:bCs/>
                    <w:i/>
                    <w:color w:val="003366"/>
                    <w:sz w:val="36"/>
                    <w:szCs w:val="36"/>
                    <w:lang w:val="en-GB"/>
                  </w:rPr>
                </w:pPr>
                <w:r w:rsidRPr="00B7418B">
                  <w:rPr>
                    <w:rFonts w:ascii="Monotype Corsiva" w:hAnsi="Monotype Corsiva"/>
                    <w:bCs/>
                    <w:i/>
                    <w:color w:val="003366"/>
                    <w:sz w:val="36"/>
                    <w:szCs w:val="36"/>
                    <w:lang w:val="en-GB"/>
                  </w:rPr>
                  <w:t xml:space="preserve">Florence Conference on Phenotype </w:t>
                </w:r>
                <w:proofErr w:type="spellStart"/>
                <w:r w:rsidRPr="00B7418B">
                  <w:rPr>
                    <w:rFonts w:ascii="Monotype Corsiva" w:hAnsi="Monotype Corsiva"/>
                    <w:bCs/>
                    <w:i/>
                    <w:color w:val="003366"/>
                    <w:sz w:val="36"/>
                    <w:szCs w:val="36"/>
                    <w:lang w:val="en-GB"/>
                  </w:rPr>
                  <w:t>MicroArray</w:t>
                </w:r>
                <w:proofErr w:type="spellEnd"/>
                <w:r w:rsidRPr="00B7418B">
                  <w:rPr>
                    <w:rFonts w:ascii="Monotype Corsiva" w:hAnsi="Monotype Corsiva"/>
                    <w:bCs/>
                    <w:i/>
                    <w:color w:val="003366"/>
                    <w:sz w:val="36"/>
                    <w:szCs w:val="36"/>
                    <w:lang w:val="en-GB"/>
                  </w:rPr>
                  <w:t xml:space="preserve"> Analysis of cells</w:t>
                </w:r>
              </w:p>
              <w:p w14:paraId="57E1A008" w14:textId="77777777" w:rsidR="00470EAE" w:rsidRPr="00B7418B" w:rsidRDefault="00470EAE" w:rsidP="009641B0">
                <w:pPr>
                  <w:jc w:val="center"/>
                  <w:rPr>
                    <w:rFonts w:ascii="Monotype Corsiva" w:hAnsi="Monotype Corsiva"/>
                    <w:bCs/>
                    <w:i/>
                    <w:color w:val="003366"/>
                    <w:lang w:val="en-GB"/>
                  </w:rPr>
                </w:pPr>
                <w:r w:rsidRPr="00B7418B">
                  <w:rPr>
                    <w:rFonts w:ascii="Monotype Corsiva" w:hAnsi="Monotype Corsiva"/>
                    <w:bCs/>
                    <w:i/>
                    <w:color w:val="003366"/>
                    <w:lang w:val="en-GB"/>
                  </w:rPr>
                  <w:t>The Environment, Agriculture, and Human Health</w:t>
                </w:r>
              </w:p>
              <w:p w14:paraId="05C54194" w14:textId="77777777" w:rsidR="00470EAE" w:rsidRPr="00B7418B" w:rsidRDefault="00470EAE" w:rsidP="009641B0">
                <w:pPr>
                  <w:jc w:val="center"/>
                  <w:rPr>
                    <w:i/>
                    <w:sz w:val="22"/>
                    <w:szCs w:val="22"/>
                    <w:lang w:val="en-GB"/>
                  </w:rPr>
                </w:pPr>
                <w:r w:rsidRPr="00B7418B">
                  <w:rPr>
                    <w:rFonts w:ascii="Monotype Corsiva" w:hAnsi="Monotype Corsiva"/>
                    <w:i/>
                    <w:color w:val="003366"/>
                    <w:sz w:val="22"/>
                    <w:szCs w:val="22"/>
                  </w:rPr>
                  <w:t>Firenze-</w:t>
                </w:r>
                <w:proofErr w:type="spellStart"/>
                <w:r w:rsidRPr="00B7418B">
                  <w:rPr>
                    <w:rFonts w:ascii="Monotype Corsiva" w:hAnsi="Monotype Corsiva"/>
                    <w:i/>
                    <w:color w:val="003366"/>
                    <w:sz w:val="22"/>
                    <w:szCs w:val="22"/>
                  </w:rPr>
                  <w:t>Italy</w:t>
                </w:r>
                <w:proofErr w:type="spellEnd"/>
                <w:r w:rsidRPr="00B7418B">
                  <w:rPr>
                    <w:rFonts w:ascii="Monotype Corsiva" w:hAnsi="Monotype Corsiva"/>
                    <w:i/>
                    <w:color w:val="003366"/>
                    <w:sz w:val="22"/>
                    <w:szCs w:val="22"/>
                  </w:rPr>
                  <w:t xml:space="preserve">, </w:t>
                </w:r>
                <w:proofErr w:type="spellStart"/>
                <w:r w:rsidRPr="00B7418B">
                  <w:rPr>
                    <w:rFonts w:ascii="Monotype Corsiva" w:hAnsi="Monotype Corsiva"/>
                    <w:i/>
                    <w:color w:val="003366"/>
                    <w:sz w:val="22"/>
                    <w:szCs w:val="22"/>
                  </w:rPr>
                  <w:t>September</w:t>
                </w:r>
                <w:proofErr w:type="spellEnd"/>
                <w:r w:rsidRPr="00B7418B">
                  <w:rPr>
                    <w:rFonts w:ascii="Monotype Corsiva" w:hAnsi="Monotype Corsiva"/>
                    <w:i/>
                    <w:color w:val="003366"/>
                    <w:sz w:val="22"/>
                    <w:szCs w:val="22"/>
                  </w:rPr>
                  <w:t xml:space="preserve"> 10-12, 2015</w:t>
                </w:r>
              </w:p>
            </w:tc>
            <w:tc>
              <w:tcPr>
                <w:tcW w:w="205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B71891A" w14:textId="77777777" w:rsidR="00470EAE" w:rsidRPr="00B7418B" w:rsidRDefault="00470EAE" w:rsidP="009641B0">
                <w:pPr>
                  <w:rPr>
                    <w:i/>
                    <w:lang w:val="en-GB"/>
                  </w:rPr>
                </w:pPr>
                <w:r w:rsidRPr="00B7418B">
                  <w:rPr>
                    <w:i/>
                    <w:noProof/>
                  </w:rPr>
                  <w:drawing>
                    <wp:inline distT="0" distB="0" distL="0" distR="0" wp14:anchorId="2761AF0C" wp14:editId="69851F59">
                      <wp:extent cx="1009650" cy="666750"/>
                      <wp:effectExtent l="0" t="0" r="0" b="0"/>
                      <wp:docPr id="5" name="Immagine 5" descr="logo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 descr="logo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09650" cy="666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14:paraId="68486BC6" w14:textId="77777777" w:rsidR="00470EAE" w:rsidRDefault="00470EAE"/>
      </w:tc>
    </w:tr>
  </w:tbl>
  <w:p w14:paraId="77E7B7B5" w14:textId="77777777" w:rsidR="00470EAE" w:rsidRDefault="00470EAE" w:rsidP="007D1DF5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F6E"/>
    <w:rsid w:val="00025191"/>
    <w:rsid w:val="00025EF0"/>
    <w:rsid w:val="00042A59"/>
    <w:rsid w:val="000437D2"/>
    <w:rsid w:val="000B21B5"/>
    <w:rsid w:val="000B74A4"/>
    <w:rsid w:val="000E4399"/>
    <w:rsid w:val="00121135"/>
    <w:rsid w:val="00164394"/>
    <w:rsid w:val="001803AE"/>
    <w:rsid w:val="001B4A1F"/>
    <w:rsid w:val="001E1694"/>
    <w:rsid w:val="00216D32"/>
    <w:rsid w:val="002707D0"/>
    <w:rsid w:val="002708A5"/>
    <w:rsid w:val="00283D96"/>
    <w:rsid w:val="002B1BED"/>
    <w:rsid w:val="002C358C"/>
    <w:rsid w:val="002D3042"/>
    <w:rsid w:val="002E2872"/>
    <w:rsid w:val="003373B5"/>
    <w:rsid w:val="003758C6"/>
    <w:rsid w:val="00393894"/>
    <w:rsid w:val="003A51AA"/>
    <w:rsid w:val="003C1F7A"/>
    <w:rsid w:val="003C21C8"/>
    <w:rsid w:val="003E255E"/>
    <w:rsid w:val="003F313A"/>
    <w:rsid w:val="0044093A"/>
    <w:rsid w:val="00470EAE"/>
    <w:rsid w:val="004723C7"/>
    <w:rsid w:val="004847B5"/>
    <w:rsid w:val="004874B5"/>
    <w:rsid w:val="004956DD"/>
    <w:rsid w:val="004A6863"/>
    <w:rsid w:val="004A6B4D"/>
    <w:rsid w:val="004B1F6E"/>
    <w:rsid w:val="00503F43"/>
    <w:rsid w:val="00521B8F"/>
    <w:rsid w:val="00526F4F"/>
    <w:rsid w:val="00531584"/>
    <w:rsid w:val="00554F17"/>
    <w:rsid w:val="005640B5"/>
    <w:rsid w:val="005656B7"/>
    <w:rsid w:val="00572FA0"/>
    <w:rsid w:val="005B5B6A"/>
    <w:rsid w:val="005B7DC2"/>
    <w:rsid w:val="005C2D76"/>
    <w:rsid w:val="005D6262"/>
    <w:rsid w:val="00616AF3"/>
    <w:rsid w:val="00676D37"/>
    <w:rsid w:val="006A0D4B"/>
    <w:rsid w:val="006D1927"/>
    <w:rsid w:val="00701671"/>
    <w:rsid w:val="00726DED"/>
    <w:rsid w:val="007551FA"/>
    <w:rsid w:val="00775CA2"/>
    <w:rsid w:val="007B1B0E"/>
    <w:rsid w:val="007C47F8"/>
    <w:rsid w:val="007D1DF5"/>
    <w:rsid w:val="00800F99"/>
    <w:rsid w:val="00865CDA"/>
    <w:rsid w:val="008C34D6"/>
    <w:rsid w:val="008D3DBE"/>
    <w:rsid w:val="0092188C"/>
    <w:rsid w:val="00961472"/>
    <w:rsid w:val="009641B0"/>
    <w:rsid w:val="009B3AFE"/>
    <w:rsid w:val="009E75D1"/>
    <w:rsid w:val="00A04725"/>
    <w:rsid w:val="00A245B7"/>
    <w:rsid w:val="00A40030"/>
    <w:rsid w:val="00A42546"/>
    <w:rsid w:val="00A50928"/>
    <w:rsid w:val="00A77B51"/>
    <w:rsid w:val="00AE05DC"/>
    <w:rsid w:val="00AF2306"/>
    <w:rsid w:val="00B03F8F"/>
    <w:rsid w:val="00B46A1C"/>
    <w:rsid w:val="00B46E56"/>
    <w:rsid w:val="00B77EAF"/>
    <w:rsid w:val="00B86509"/>
    <w:rsid w:val="00BA0CF6"/>
    <w:rsid w:val="00C43C79"/>
    <w:rsid w:val="00CD0CAC"/>
    <w:rsid w:val="00CF06C3"/>
    <w:rsid w:val="00CF0E77"/>
    <w:rsid w:val="00D03EFE"/>
    <w:rsid w:val="00D0526F"/>
    <w:rsid w:val="00D24D67"/>
    <w:rsid w:val="00D959D8"/>
    <w:rsid w:val="00DA605B"/>
    <w:rsid w:val="00DB41A5"/>
    <w:rsid w:val="00DD1622"/>
    <w:rsid w:val="00E000C5"/>
    <w:rsid w:val="00E02C2B"/>
    <w:rsid w:val="00E20FD6"/>
    <w:rsid w:val="00E931B8"/>
    <w:rsid w:val="00EA5CAD"/>
    <w:rsid w:val="00EA6D3C"/>
    <w:rsid w:val="00EC3BEF"/>
    <w:rsid w:val="00ED1B45"/>
    <w:rsid w:val="00ED75B5"/>
    <w:rsid w:val="00EF477C"/>
    <w:rsid w:val="00F06E18"/>
    <w:rsid w:val="00F11232"/>
    <w:rsid w:val="00F1197D"/>
    <w:rsid w:val="00F21298"/>
    <w:rsid w:val="00F5546C"/>
    <w:rsid w:val="00F91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19D168A4"/>
  <w15:docId w15:val="{250FFC33-C191-4359-AB8D-EA31456E5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803AE"/>
    <w:rPr>
      <w:sz w:val="24"/>
      <w:szCs w:val="24"/>
    </w:rPr>
  </w:style>
  <w:style w:type="paragraph" w:styleId="Titolo3">
    <w:name w:val="heading 3"/>
    <w:basedOn w:val="Normale"/>
    <w:next w:val="Normale"/>
    <w:qFormat/>
    <w:rsid w:val="00A4254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l-GR" w:eastAsia="el-GR"/>
    </w:rPr>
  </w:style>
  <w:style w:type="paragraph" w:styleId="Titolo5">
    <w:name w:val="heading 5"/>
    <w:basedOn w:val="Normale"/>
    <w:next w:val="Normale"/>
    <w:qFormat/>
    <w:rsid w:val="00A42546"/>
    <w:pPr>
      <w:keepNext/>
      <w:ind w:left="2160" w:firstLine="720"/>
      <w:outlineLvl w:val="4"/>
    </w:pPr>
    <w:rPr>
      <w:b/>
      <w:bCs/>
      <w:sz w:val="36"/>
      <w:lang w:val="en-US" w:eastAsia="el-G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1803A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1803A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1803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1803AE"/>
    <w:rPr>
      <w:color w:val="0000FF"/>
      <w:u w:val="single"/>
    </w:rPr>
  </w:style>
  <w:style w:type="paragraph" w:styleId="Testofumetto">
    <w:name w:val="Balloon Text"/>
    <w:basedOn w:val="Normale"/>
    <w:semiHidden/>
    <w:rsid w:val="00B46E56"/>
    <w:rPr>
      <w:rFonts w:ascii="Tahoma" w:hAnsi="Tahoma" w:cs="Tahoma"/>
      <w:sz w:val="16"/>
      <w:szCs w:val="16"/>
    </w:rPr>
  </w:style>
  <w:style w:type="paragraph" w:customStyle="1" w:styleId="Corpodeltesto1">
    <w:name w:val="Corpo del testo1"/>
    <w:basedOn w:val="Normale"/>
    <w:rsid w:val="00A42546"/>
    <w:pPr>
      <w:jc w:val="both"/>
    </w:pPr>
    <w:rPr>
      <w:lang w:val="en-US" w:eastAsia="el-GR"/>
    </w:rPr>
  </w:style>
  <w:style w:type="character" w:styleId="Enfasigrassetto">
    <w:name w:val="Strong"/>
    <w:qFormat/>
    <w:rsid w:val="00A42546"/>
    <w:rPr>
      <w:b/>
      <w:bCs/>
    </w:rPr>
  </w:style>
  <w:style w:type="paragraph" w:styleId="NormaleWeb">
    <w:name w:val="Normal (Web)"/>
    <w:basedOn w:val="Normale"/>
    <w:rsid w:val="00A42546"/>
    <w:pPr>
      <w:spacing w:before="100" w:beforeAutospacing="1" w:after="100" w:afterAutospacing="1"/>
    </w:pPr>
  </w:style>
  <w:style w:type="character" w:styleId="Rimandocommento">
    <w:name w:val="annotation reference"/>
    <w:basedOn w:val="Carpredefinitoparagrafo"/>
    <w:uiPriority w:val="99"/>
    <w:semiHidden/>
    <w:unhideWhenUsed/>
    <w:rsid w:val="00BA0CF6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A0CF6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A0CF6"/>
    <w:rPr>
      <w:sz w:val="24"/>
      <w:szCs w:val="24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A0CF6"/>
    <w:rPr>
      <w:b/>
      <w:bCs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A0CF6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Grants for Students and Young Researchers</vt:lpstr>
    </vt:vector>
  </TitlesOfParts>
  <Company>DiBA</Company>
  <LinksUpToDate>false</LinksUpToDate>
  <CharactersWithSpaces>1822</CharactersWithSpaces>
  <SharedDoc>false</SharedDoc>
  <HLinks>
    <vt:vector size="18" baseType="variant">
      <vt:variant>
        <vt:i4>1179710</vt:i4>
      </vt:variant>
      <vt:variant>
        <vt:i4>6</vt:i4>
      </vt:variant>
      <vt:variant>
        <vt:i4>0</vt:i4>
      </vt:variant>
      <vt:variant>
        <vt:i4>5</vt:i4>
      </vt:variant>
      <vt:variant>
        <vt:lpwstr>mailto:acorsetti@unite.it</vt:lpwstr>
      </vt:variant>
      <vt:variant>
        <vt:lpwstr/>
      </vt:variant>
      <vt:variant>
        <vt:i4>1441906</vt:i4>
      </vt:variant>
      <vt:variant>
        <vt:i4>3</vt:i4>
      </vt:variant>
      <vt:variant>
        <vt:i4>0</vt:i4>
      </vt:variant>
      <vt:variant>
        <vt:i4>5</vt:i4>
      </vt:variant>
      <vt:variant>
        <vt:lpwstr>mailto:daniele.daffonchio@unimi.it</vt:lpwstr>
      </vt:variant>
      <vt:variant>
        <vt:lpwstr/>
      </vt:variant>
      <vt:variant>
        <vt:i4>786549</vt:i4>
      </vt:variant>
      <vt:variant>
        <vt:i4>0</vt:i4>
      </vt:variant>
      <vt:variant>
        <vt:i4>0</vt:i4>
      </vt:variant>
      <vt:variant>
        <vt:i4>5</vt:i4>
      </vt:variant>
      <vt:variant>
        <vt:lpwstr>mailto:carlo.viti@unifi.it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Grants for Students and Young Researchers</dc:title>
  <dc:subject/>
  <dc:creator>Luciana Giovannetti</dc:creator>
  <cp:keywords/>
  <cp:lastModifiedBy>carlo viti</cp:lastModifiedBy>
  <cp:revision>9</cp:revision>
  <cp:lastPrinted>2016-03-31T09:17:00Z</cp:lastPrinted>
  <dcterms:created xsi:type="dcterms:W3CDTF">2019-01-07T10:26:00Z</dcterms:created>
  <dcterms:modified xsi:type="dcterms:W3CDTF">2019-05-21T15:34:00Z</dcterms:modified>
</cp:coreProperties>
</file>